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85D06" w14:textId="157E9AE7" w:rsidR="007B50D9" w:rsidRPr="007B50D9" w:rsidRDefault="007B50D9" w:rsidP="002570CB">
      <w:pPr>
        <w:jc w:val="both"/>
        <w:rPr>
          <w:rFonts w:ascii="Times New Roman" w:hAnsi="Times New Roman" w:cs="Times New Roman"/>
          <w:b/>
          <w:bCs/>
        </w:rPr>
      </w:pPr>
      <w:r w:rsidRPr="007B50D9">
        <w:rPr>
          <w:rFonts w:ascii="Times New Roman" w:hAnsi="Times New Roman" w:cs="Times New Roman"/>
          <w:b/>
          <w:bCs/>
        </w:rPr>
        <w:t xml:space="preserve">Corte di Giustizia Tributaria di Primo grado </w:t>
      </w:r>
      <w:r w:rsidR="00461E8F">
        <w:rPr>
          <w:rFonts w:ascii="Times New Roman" w:hAnsi="Times New Roman" w:cs="Times New Roman"/>
          <w:b/>
          <w:bCs/>
        </w:rPr>
        <w:t xml:space="preserve">(Verbania) </w:t>
      </w:r>
      <w:r w:rsidRPr="007B50D9">
        <w:rPr>
          <w:rFonts w:ascii="Times New Roman" w:hAnsi="Times New Roman" w:cs="Times New Roman"/>
          <w:b/>
          <w:bCs/>
        </w:rPr>
        <w:t>Piemonte sez. I 1/4/2026 n. 21</w:t>
      </w:r>
    </w:p>
    <w:p w14:paraId="76B19CDB" w14:textId="77777777" w:rsidR="007B50D9" w:rsidRPr="007B50D9" w:rsidRDefault="007B50D9" w:rsidP="002570CB">
      <w:pPr>
        <w:jc w:val="center"/>
        <w:rPr>
          <w:rFonts w:ascii="Times New Roman" w:hAnsi="Times New Roman" w:cs="Times New Roman"/>
        </w:rPr>
      </w:pPr>
      <w:r w:rsidRPr="007B50D9">
        <w:rPr>
          <w:rFonts w:ascii="Times New Roman" w:hAnsi="Times New Roman" w:cs="Times New Roman"/>
          <w:b/>
          <w:bCs/>
        </w:rPr>
        <w:t>SVOLGIMENTO DEL PROCESSO</w:t>
      </w:r>
    </w:p>
    <w:p w14:paraId="16DB7167" w14:textId="77777777" w:rsidR="007B50D9" w:rsidRPr="007B50D9" w:rsidRDefault="007B50D9" w:rsidP="002570CB">
      <w:pPr>
        <w:jc w:val="both"/>
        <w:rPr>
          <w:rFonts w:ascii="Times New Roman" w:hAnsi="Times New Roman" w:cs="Times New Roman"/>
        </w:rPr>
      </w:pPr>
      <w:r w:rsidRPr="007B50D9">
        <w:rPr>
          <w:rFonts w:ascii="Times New Roman" w:hAnsi="Times New Roman" w:cs="Times New Roman"/>
        </w:rPr>
        <w:t xml:space="preserve">OMISSIS ha proposto ricorso chiedendo l’annullamento degli avvisi di accertamento IMU in oggetto, relativi – per gli anni d’imposta dal 2020 al 2023 – ad un terreno e due box connessi all’immobile “Villa Pace”, di cui è comproprietario. Ha esposto, in fatto, di avere acquistato le quote di comproprietà al precipuo fine di porre rimedio allo stato di totale abbandono dell’immobile, oggetto di innumerevoli comunicazioni del Comune per inviti alla manutenzione. Dopo l’acquisto, ha formalizzato una pratica edilizia per il recupero del fabbricato, che prevedeva, tra l’altro, la creazione ex novo di una scala esterna al posto della preesistente interna, al fine di suddividere gli appartamenti dei quattro piani della Villa: tale opera non era stata inizialmente autorizzata dal Comune, sicché si era reso necessario intervenire sulla scala preesistente, con notevoli costi. Gli appartamenti, di circa 200 mq, sono rimasti invenduti, date le dimensioni e il contesto urbano di contorno, piuttosto scadente, a fronte di imponenti investimenti effettuati per il recupero e la manutenzione dell' area verde circostante. Solo nel 2025 la Commissione Paesaggistica aveva, infine, autorizzato l’edificazione della nuova scala esterna. A fondamento della propria pretesa il ricorrente ha allegato la condizione di improduttività reddituale dei box e del terreno negli anni d’imposta di cui agli avvisi di accertamento. In particolare, ha riferito che uno dei due box, in legno, non esiste più da decenni, e che l’area su cui insisteva è ricoperta da vegetazione, mentre l’altro, in muratura, è in condizione di evidente </w:t>
      </w:r>
      <w:proofErr w:type="spellStart"/>
      <w:r w:rsidRPr="007B50D9">
        <w:rPr>
          <w:rFonts w:ascii="Times New Roman" w:hAnsi="Times New Roman" w:cs="Times New Roman"/>
        </w:rPr>
        <w:t>collabenza</w:t>
      </w:r>
      <w:proofErr w:type="spellEnd"/>
      <w:r w:rsidRPr="007B50D9">
        <w:rPr>
          <w:rFonts w:ascii="Times New Roman" w:hAnsi="Times New Roman" w:cs="Times New Roman"/>
        </w:rPr>
        <w:t xml:space="preserve">, essendo inaccessibile per la folta vegetazione che lo circonda, così come l’edificio principale: ha allegato immagini fotografiche dei luoghi. In diritto ha osservato che l’esenzione IMU opera per le annualità in cui la </w:t>
      </w:r>
      <w:proofErr w:type="spellStart"/>
      <w:r w:rsidRPr="007B50D9">
        <w:rPr>
          <w:rFonts w:ascii="Times New Roman" w:hAnsi="Times New Roman" w:cs="Times New Roman"/>
        </w:rPr>
        <w:t>collabenza</w:t>
      </w:r>
      <w:proofErr w:type="spellEnd"/>
      <w:r w:rsidRPr="007B50D9">
        <w:rPr>
          <w:rFonts w:ascii="Times New Roman" w:hAnsi="Times New Roman" w:cs="Times New Roman"/>
        </w:rPr>
        <w:t xml:space="preserve"> è stata acclarata, anche se non formalizzata con l’accatastamento dell’immobile nella </w:t>
      </w:r>
      <w:proofErr w:type="spellStart"/>
      <w:r w:rsidRPr="007B50D9">
        <w:rPr>
          <w:rFonts w:ascii="Times New Roman" w:hAnsi="Times New Roman" w:cs="Times New Roman"/>
        </w:rPr>
        <w:t>cat</w:t>
      </w:r>
      <w:proofErr w:type="spellEnd"/>
      <w:r w:rsidRPr="007B50D9">
        <w:rPr>
          <w:rFonts w:ascii="Times New Roman" w:hAnsi="Times New Roman" w:cs="Times New Roman"/>
        </w:rPr>
        <w:t xml:space="preserve">. F2. Richiamati il disposto dell’art. 3 c. 2 DM 28/1998, la nota 29439 prot. – 30.7.2013 e la Risoluzione 4/DF – 16.11.2023 dell’Agenzia delle Entrate, ha sottolineato che l’iscrizione in F2 di un immobile in accentuato stato di degrado deve ritenersi solo facoltativa, prevista esclusivamente a fini civilistici, per l’esatta individuazione dei cespiti al momento del trasferimento di diritti reali, e priva di carattere costitutivo, sicché non integra presupposto necessario per l’esenzione IMU. Quanto al terreno edificabile, il ricorrente ha evidenziato che, dall’inizio dei lavori, è stato utilizzato solo e necessariamente per il transito dei mezzi d’opera funzionali al recupero edilizio, sicché gli avvisi di accertamento andrebbero annullati per insussistenza di redditività dell’immobile. In via subordinata, il ricorrente ha chiesto la disapplicazione dei valori imponibili catastali attribuiti ai box e al terreno, in quanto non attuali, anche previo esperimento di CTU volta a individuare e quantificare in via definitiva il valore dei box e del terreno. In via di ulteriore subordine, ha chiesto il dimezzamento della base imponibile relativa ai box, ai sensi dell’art. 13 c. 3 DL 201/2011, richiamando i princìpi di collaborazione e buona fede che devono caratterizzare il rapporto tra ente impositore e contribuente, adducendo che la condizione degli immobili era pienamente nota al Comune. Ha evidenziato di avere proposto istanza di annullamento in autotutela degli avvisi di accertamento, rimasta priva di riscontro. Si è costituito il Comune di Baveno, contestando le avverse pretese: ha evidenziato che i fabbricati sono stati regolarmente accatastati dal contribuente nella categoria C6 con rendita attribuita e che l’iscrizione rappresenta, di per sé, presupposto sufficiente per l’assoggettamento a IMU, ai sensi degli artt. 13 c. 2 DL 201/2011 e 1 L. 160/2019, che ripropongono le definizioni di cui all’art. 2 D.lgs. 504/1992. Secondo consolidata giurisprudenza di legittimità, l’imposta è dovuta per il solo fatto che si sia provveduto all’accatastamento, rimanendo estraneo al rapporto tributario l’effettivo utilizzo. La </w:t>
      </w:r>
      <w:r w:rsidRPr="007B50D9">
        <w:rPr>
          <w:rFonts w:ascii="Times New Roman" w:hAnsi="Times New Roman" w:cs="Times New Roman"/>
        </w:rPr>
        <w:lastRenderedPageBreak/>
        <w:t>rendita e la categoria catastale vincolano contribuente ed ente impositore: costituiscono presupposto di fatto necessario e insostituibile per l’imposizione fiscale, che la legge commisura a tale dato. L’accatastamento in F2 non è obbligatorio, ma l’iscrizione è necessaria affinché l’immobile sia sottratto a tassazione: era, quindi, onere del contribuente procedere con la variazione catastale, mai effettuata. Quanto al terreno edificabile, ha evidenziato che l’IMU è imposta di natura patrimoniale, il cui presupposto è integrato dal possesso di un immobile, a prescindere dall’attitudine a produrre reddito e dalla sua fruizione o utilizzazione economica. Quanto alle richieste subordinate, ha evidenziato che la rendita posta a fondamento degli accertamenti è quella risultante dagli atti e mai variata dal contribuente, che avrebbe avuto l’onere di presentare una denuncia di variazione, laddove avesse dubitato della congruità della rendita attribuita, che costituisce la base imponibile per il calcolo dell’imposta, salva la contestazione della sua attribuzione da effettuarsi nei confronti dell’Ufficio del Territorio. Anche l’invocata agevolazione del dimezzamento della base imponibile è normativamente soggetta a una procedura rigorosa, volta a certificare la sussistenza del presupposto della inagibilità o inabitabilità. La mancata presentazione della specifica dichiarazione non consente l’accesso al trattamento fiscale agevolato; in ogni caso, il contribuente ha l’onere di provare la reale sussistenza del presupposto con riguardo all’anno d’imposta per il quale invoca l’agevolazione. Con successiva memoria, il ricorrente ha eccepito la tardività della costituzione in giudizio di controparte e ha contestato la genericità delle controdeduzioni, non avendo il Comune preso posizione sui fatti dedotti. All’odierna udienza le parti hanno richiamato le rispettive deduzioni, eccezioni e pretese.</w:t>
      </w:r>
    </w:p>
    <w:p w14:paraId="7B9A28FF" w14:textId="77777777" w:rsidR="007B50D9" w:rsidRPr="007B50D9" w:rsidRDefault="007B50D9" w:rsidP="002570CB">
      <w:pPr>
        <w:jc w:val="both"/>
        <w:rPr>
          <w:rFonts w:ascii="Times New Roman" w:hAnsi="Times New Roman" w:cs="Times New Roman"/>
        </w:rPr>
      </w:pPr>
      <w:r w:rsidRPr="007B50D9">
        <w:rPr>
          <w:rFonts w:ascii="Times New Roman" w:hAnsi="Times New Roman" w:cs="Times New Roman"/>
          <w:b/>
          <w:bCs/>
        </w:rPr>
        <w:t>MOTIVI DELLA DECISIONE </w:t>
      </w:r>
    </w:p>
    <w:p w14:paraId="18A5D30C" w14:textId="77777777" w:rsidR="00E91B24" w:rsidRDefault="007B50D9" w:rsidP="002570CB">
      <w:pPr>
        <w:jc w:val="both"/>
        <w:rPr>
          <w:rFonts w:ascii="Times New Roman" w:hAnsi="Times New Roman" w:cs="Times New Roman"/>
        </w:rPr>
      </w:pPr>
      <w:r w:rsidRPr="007B50D9">
        <w:rPr>
          <w:rFonts w:ascii="Times New Roman" w:hAnsi="Times New Roman" w:cs="Times New Roman"/>
        </w:rPr>
        <w:t xml:space="preserve">In ordine all’eccezione, sollevata dal ricorrente, di tardività della costituzione in giudizio del Comune, va ricordato che, secondo orientamento del tutto consolidato della Corte di legittimità, “Nel processo tributario, la violazione del termine previsto dall'art. 23 del d.lgs. n. 546 del 1992 per la costituzione in giudizio della parte resistente comporta esclusivamente la decadenza dalla facoltà di proporre eccezioni processuali e di merito che non siano rilevabili d'ufficio e di fare istanza per la chiamata di terzi, sicché permane il diritto dello stesso resistente di negare i fatti costitutivi dell'avversa pretesa, di contestare l'applicabilità delle norme di diritto invocate e di produrre documenti ai sensi degli artt. 24 e 32 del medesimo d.lgs.” (ex multis Cass. Sez. 5, Ordinanza 13/05/2025, n. 12672, Rv. 675044 - 01). Nel caso di specie, parte resistente, nel costituirsi, non ha sollevato alcuna eccezione, limitandosi a contestare il fondamento dell’avversa pretesa, richiamando le norme applicabili e arresti giurisprudenziali pertinenti. Parimenti destituita di fondamento è l’eccezione di nullità per genericità delle controdeduzioni: come detto, parte resistente ha preso espressamente posizione sui presupposti normativi della pretesa avanzata dal ricorrente, in relazione agli stessi fatti </w:t>
      </w:r>
      <w:proofErr w:type="gramStart"/>
      <w:r w:rsidRPr="007B50D9">
        <w:rPr>
          <w:rFonts w:ascii="Times New Roman" w:hAnsi="Times New Roman" w:cs="Times New Roman"/>
        </w:rPr>
        <w:t>dal medesimo esposti</w:t>
      </w:r>
      <w:proofErr w:type="gramEnd"/>
      <w:r w:rsidRPr="007B50D9">
        <w:rPr>
          <w:rFonts w:ascii="Times New Roman" w:hAnsi="Times New Roman" w:cs="Times New Roman"/>
        </w:rPr>
        <w:t xml:space="preserve">, traendone conseguenze in punto infondatezza del ricorso. Non è dato, pertanto, ravvedere, nell’atto di costituzione in giudizio di parte resistente, alcun profilo patologico idoneo a determinarne l’eccepita nullità. </w:t>
      </w:r>
    </w:p>
    <w:p w14:paraId="6423C1C2" w14:textId="69C07DC5" w:rsidR="007B50D9" w:rsidRPr="007B50D9" w:rsidRDefault="007B50D9" w:rsidP="002570CB">
      <w:pPr>
        <w:jc w:val="both"/>
        <w:rPr>
          <w:rFonts w:ascii="Times New Roman" w:hAnsi="Times New Roman" w:cs="Times New Roman"/>
        </w:rPr>
      </w:pPr>
      <w:r w:rsidRPr="007B50D9">
        <w:rPr>
          <w:rFonts w:ascii="Times New Roman" w:hAnsi="Times New Roman" w:cs="Times New Roman"/>
        </w:rPr>
        <w:t xml:space="preserve">Nel merito il ricorso è infondato. In ordine ai box è pacifico, tra le parti, che i fabbricati siano stati regolarmene accatastati nella categoria C6 con rendita attribuita. Ai fini IMU, per fabbricato si intende “l’unità immobiliare iscritta o che deve essere iscritta nel catasto edilizio urbano con attribuzione di rendita catastale” (art. 13 c. 2 D.L. 201/2011 – art. 1 c. 741 L. 160/2019). L’iscrizione al catasto realizza, di per sé, il presupposto necessario e sufficiente per assoggettare l’immobile all’imposta: secondo la previsione normativa, il profilo di rilevanza dell’effettivo utilizzo è limitato alle ipotesi in cui il fabbricato di nuova costruzione non sia ancora iscritto al catasto (“il fabbricato di nuova </w:t>
      </w:r>
      <w:r w:rsidRPr="007B50D9">
        <w:rPr>
          <w:rFonts w:ascii="Times New Roman" w:hAnsi="Times New Roman" w:cs="Times New Roman"/>
        </w:rPr>
        <w:lastRenderedPageBreak/>
        <w:t xml:space="preserve">costruzione è soggetto all’imposta a partire dalla data di ultimazione dei lavori di costruzione ovvero, se antecedente, dalla data in cui è comunque utilizzato”). Secondo costante interpretazione della Corte di Cassazione in tema di IMU – e prima di ICI – la base imponibile è normativamente individuata mediante “una stretta ed imprescindibile relazione tra iscrizione (o necessaria </w:t>
      </w:r>
      <w:proofErr w:type="spellStart"/>
      <w:r w:rsidRPr="007B50D9">
        <w:rPr>
          <w:rFonts w:ascii="Times New Roman" w:hAnsi="Times New Roman" w:cs="Times New Roman"/>
        </w:rPr>
        <w:t>iscrivibilità</w:t>
      </w:r>
      <w:proofErr w:type="spellEnd"/>
      <w:r w:rsidRPr="007B50D9">
        <w:rPr>
          <w:rFonts w:ascii="Times New Roman" w:hAnsi="Times New Roman" w:cs="Times New Roman"/>
        </w:rPr>
        <w:t xml:space="preserve">) in catasto di una unità immobiliare e rendita vigente al primo gennaio dell'anno di imposizione, sicché i dati del singolo fabbricato, quali risultanti dal catasto, costituiscono un fatto oggettivo, ai fini dell'assoggettamento all'imposta e della determinazione del "quantum" dovuto, non contestabile, neppure in via incidentale, da nessuna delle parti (comune e contribuente) del rapporto obbligatorio concernente l'imposta, fatta salva la facoltà del contribuente di chiedere la modifica (eventualmente in via di autotutela), ovvero di impugnare (in sede giurisdizionale) l'atto di accatastamento e/o di attribuzione della rendita, con naturale ripercussione (ed effetto vincolante per le parti del rapporto ICI) sul provvedimento definitivo” (Cass. Sez. 5, 07/06/2017, n. 14114, Rv. 644420 – 01; cfr. altresì Cass. 2026/3614, in motivazione: “Come ripetutamente precisato dalla Corte, per fabbricato rilevante ai fini ICI deve intendersi, ai sensi del d.lgs. n. 504 del 1992, art. 2, comma 1, lett. a), l'unità immobiliare iscritta, o che deve essere iscritta, nel catasto edilizio urbano, ovvero l’immobile suscettibile di accatastamento ai sensi del </w:t>
      </w:r>
      <w:proofErr w:type="spellStart"/>
      <w:r w:rsidRPr="007B50D9">
        <w:rPr>
          <w:rFonts w:ascii="Times New Roman" w:hAnsi="Times New Roman" w:cs="Times New Roman"/>
        </w:rPr>
        <w:t>r.d.l.</w:t>
      </w:r>
      <w:proofErr w:type="spellEnd"/>
      <w:r w:rsidRPr="007B50D9">
        <w:rPr>
          <w:rFonts w:ascii="Times New Roman" w:hAnsi="Times New Roman" w:cs="Times New Roman"/>
        </w:rPr>
        <w:t xml:space="preserve"> n. 652 del 1939, artt. 1, 4, 5 e 10 (Cass., 3 maggio 2019, n. 11646; Cass., 27 marzo 2019, n. 8536; Cass., 23 giugno 2006, n. 14673). L'iscrizione di una unità immobiliare al catasto edilizio urbano, peraltro, costituisce presupposto sufficiente per l'assoggettamento del bene ad imposta, ma non anche necessario, essendo l'imposta dovuta fin da quando il bene presenti le condizioni per la sua </w:t>
      </w:r>
      <w:proofErr w:type="spellStart"/>
      <w:r w:rsidRPr="007B50D9">
        <w:rPr>
          <w:rFonts w:ascii="Times New Roman" w:hAnsi="Times New Roman" w:cs="Times New Roman"/>
        </w:rPr>
        <w:t>iscrivibilità</w:t>
      </w:r>
      <w:proofErr w:type="spellEnd"/>
      <w:r w:rsidRPr="007B50D9">
        <w:rPr>
          <w:rFonts w:ascii="Times New Roman" w:hAnsi="Times New Roman" w:cs="Times New Roman"/>
        </w:rPr>
        <w:t xml:space="preserve">, cioè da quando lo stesso possa essere considerato fabbricato, in ragione dell'ultimazione dei lavori relativi alla sua costruzione, ovvero dal momento in cui lo stesso sia stato antecedentemente utilizzato (Cass., 15 giugno 2025, n. 15975; Cass., 3 maggio 2019, n. 11646; Cass., 21 marzo 2019, n. 7968; Cass., 30 aprile 2015, n. 8781; Cass., 23 giugno 2010, n. 15177; Cass., 10 ottobre 2008, n. 24924)”; “In tema di IMU, l'iscrizione di un'unità immobiliare, preesistente o di nuova costruzione, al catasto edilizio costituisce presupposto sufficiente per l'assoggettamento del bene all'imposta municipale, ma non è anche presupposto necessario, essendo l'imposta dovuta fin da quando il bene presenti le condizioni per la sua </w:t>
      </w:r>
      <w:proofErr w:type="spellStart"/>
      <w:r w:rsidRPr="007B50D9">
        <w:rPr>
          <w:rFonts w:ascii="Times New Roman" w:hAnsi="Times New Roman" w:cs="Times New Roman"/>
        </w:rPr>
        <w:t>iscrivibilità</w:t>
      </w:r>
      <w:proofErr w:type="spellEnd"/>
      <w:r w:rsidRPr="007B50D9">
        <w:rPr>
          <w:rFonts w:ascii="Times New Roman" w:hAnsi="Times New Roman" w:cs="Times New Roman"/>
        </w:rPr>
        <w:t xml:space="preserve">, cioè da quando lo stesso possa essere considerato "fabbricato" in ragione dell'ultimazione dei lavori relativi alla sua costruzione ovvero da quando lo stesso sia stato antecedentemente utilizzato. (In una fattispecie nella quale era intervenuta la demolizione dei fabbricati oggetto di accertamento, la S.C. ha affermato che, poiché le unità immobiliari tassate risultavano ancora censite in catasto e con attribuzione di rendita, la demolizione non aveva un'automatica efficacia modificativa dell'obbligazione tributaria - come, invece, erroneamente ritenuto dalla CTR - ma doveva essere dichiarata, essendosi al cospetto di una variazione incidente sull'imponibile e correlata ad un diverso presupposto impositivo, costituito non più dal possesso di un'unità immobiliare, connesso alla rendita catastale, ma dal possesso di un'area edificabile, connesso al valore venale)” - Cass. Sez. 5, 15/06/2025, n. 15975, Rv. 675104 - 02). La determinazione dell’imponibile è effettuata in base al valore delle rendite catastali, individuate in base a parametri oggettivi modificabili in caso di cambiamento nel tempo (cfr. Cass. Sez. 5, Ord. N. 35474 del 19/11/2021 – Rv. 663196 – 01). Qualora l’immobile sia iscritto in una diversa categoria catastale, costituisce onere del contribuente, che pretenda l’esenzione dall’imposta, impugnare l’atto di classamento, restando altrimenti il fabbricato assoggettato ad ICI. Come correttamente sottolineato dal Comune, se è senz’altro vero che non sussiste alcun obbligo di accatastare un fabbricato in F2, è però fuor di dubbio che tale iscrizione – e l’assenza di rendita – sia necessaria affinché l’immobile possa essere legittimamente sottratto a </w:t>
      </w:r>
      <w:r w:rsidRPr="007B50D9">
        <w:rPr>
          <w:rFonts w:ascii="Times New Roman" w:hAnsi="Times New Roman" w:cs="Times New Roman"/>
        </w:rPr>
        <w:lastRenderedPageBreak/>
        <w:t>tassazione: nel caso di specie, è pacifico che i box di cui si tratta erano iscritti in catasto in categoria C6 e con rendita attribuita e che il contribuente non ha mai inteso procedere con la variazione catastale negli anni che qui vengono in considerazione. È quindi indiscutibile la sussistenza del presupposto d’imposta con riguardo agli anni dal 2020 al 2023. Ad analoghe conclusioni deve pervenirsi quanto al terreno edificabile: l’IMU è imposta patrimoniale il cui presupposto è integrato dal possesso di un immobile, indipendentemente dalla sua attitudine a produrre reddito e a prescindere dalle modalità di utilizzo. Infondata è la pretesa del ricorrente di disapplicazione dei valori imponibili catastali attribuiti ai box e al terreno, in quanto da ritenersi non attuali. Si richiama quanto sopra già evidenziato in ordine all’onere incombente sul contribuente di avviare, nei confronti del competente Ufficio del Territorio, la procedura per la variazione della rendita ovvero di contestarne l’attribuzione: onere, nel caso di specie, non assolto dall’odierno ricorrente con riguardo agli anni di imposta in esame, sicché deve ritenersi correttamente posta a fondamento degli accertamenti impugnati la rendita risultante in atti, costituente, a fini IMU, la base imponibile per il calcolo dell’imposta. Infondata, ancora, è la pretesa di dimezzamento della base imponibile relativa ai box, ai sensi dell’art. 13 c. 3 DL 201/2011. La norma richiamata subordina tale agevolazione all’espletamento di una rigorosa procedura volta a consentire l’accertamento dei presupposti ovvero alla presentazione di una dichiarazione sostitutiva da parte del contribuente: ambedue i presupposti difettano nel caso di specie. Quanto al richiamo ai princìpi di collaborazione e buona fede che devono caratterizzare il rapporto tra ente impositore e contribuente, il ricorrente si è limitato ad allegare che la condizione dei fabbricati era nota al Comune, ma nulla ha dimostrato con riguardo agli anni d’imposta cui si riferiscono gli avvisi di accertamento impugnati, non potendosi ritenere dimostrata, con riguardo agli anni dal 2020 al 2023, una condizione di degrado fisico non superabile con interventi di manutenzione, ordinaria o straordinaria (“In tema di IMU, ai fini dell'applicazione della riduzione prevista dall'art. 13, comma 3, lett. b, del d.l. n. 201 del 2011 (</w:t>
      </w:r>
      <w:proofErr w:type="spellStart"/>
      <w:r w:rsidRPr="007B50D9">
        <w:rPr>
          <w:rFonts w:ascii="Times New Roman" w:hAnsi="Times New Roman" w:cs="Times New Roman"/>
        </w:rPr>
        <w:t>conv</w:t>
      </w:r>
      <w:proofErr w:type="spellEnd"/>
      <w:r w:rsidRPr="007B50D9">
        <w:rPr>
          <w:rFonts w:ascii="Times New Roman" w:hAnsi="Times New Roman" w:cs="Times New Roman"/>
        </w:rPr>
        <w:t xml:space="preserve">. con </w:t>
      </w:r>
      <w:proofErr w:type="spellStart"/>
      <w:r w:rsidRPr="007B50D9">
        <w:rPr>
          <w:rFonts w:ascii="Times New Roman" w:hAnsi="Times New Roman" w:cs="Times New Roman"/>
        </w:rPr>
        <w:t>modif</w:t>
      </w:r>
      <w:proofErr w:type="spellEnd"/>
      <w:r w:rsidRPr="007B50D9">
        <w:rPr>
          <w:rFonts w:ascii="Times New Roman" w:hAnsi="Times New Roman" w:cs="Times New Roman"/>
        </w:rPr>
        <w:t xml:space="preserve">. dalla l. n. 214 del 2011), devono considerarsi inagibili o inabitabili, e di fatto non utilizzati, i fabbricati per i quali vengano a mancare i requisiti di cui all'articolo 24, comma 1, del d.P.R. n. 380 del 2001 e quindi, nello specifico, gli immobili che presentino un degrado fisico sopravvenuto (fabbricato diroccato, pericolante, fatiscente) o un'obsolescenza funzionale, strutturale e tecnologica, non superabile con interventi di manutenzione, ordinaria o straordinaria” - Cass. Sez. 5, 24/02/2023, n. 5804, Rv. 666921 - 01) - nei limiti di quanto documentato dal ricorrente - dalla richiamata vicenda della pratica edilizia, peraltro relativa al diverso fabbricato abitativo, né dalla documentazione fotografica prodotta, al più riferibile alla situazione attuale: anche il richiesto accertamento tecnico non potrebbe che fotografare la situazione attuale, ma non varrebbe in alcun modo a dimostrare che l’eventuale, attuale condizione dei fabbricati costituisse fatto già sussistente e documentalmente noto al Comune con riguardo agli anni d’imposta di cui si tratta (“Com'è noto, l'art 13, comma 3, lett. b), d.lgs. n. 201 del 2011 consente la riduzione dell'imposta del 50% «per i fabbricati dichiarati inagibili o inabitabili e di fatto non utilizzati, limitatamente al periodo dell'anno durante il quale sussistono dette condizioni. L'inagibilità o inabitabilità è accertata dall'ufficio tecnico comunale con perizia a carico del proprietario, che allega idonea documentazione alla dichiarazione. In alternativa, il contribuente ha facoltà di presentare una dichiarazione sostitutiva ai sensi del testo unico di cui al decreto del Presidente della Repubblica 28 dicembre 2000, n. 445, rispetto a quanto previsto dal periodo precedente. Agli effetti dell'applicazione della riduzione alla metà della base imponibile, i comuni possono disciplinare le caratteristiche di fatiscenza sopravvenuta del fabbricato, non superabile con interventi di manutenzione». La norma prevede l'accertamento dell'inagibilità o dell'inabitabilità da parte del Comune o la presentazione di una dichiarazione del contribuente. Questa </w:t>
      </w:r>
      <w:r w:rsidRPr="007B50D9">
        <w:rPr>
          <w:rFonts w:ascii="Times New Roman" w:hAnsi="Times New Roman" w:cs="Times New Roman"/>
        </w:rPr>
        <w:lastRenderedPageBreak/>
        <w:t>Corte ha di recente affermato che, nell'ipotesi di immobile inagibile, l'IMU (come l'ICI) deve essere ridotta, in applicazione della disposizione sopra riportata, anche in assenza di richiesta del contribuente quando lo stato di inagibilità è perfettamente noto al Comune, tenuto conto del principio di collaborazione e buona fede che deve improntare i rapporti tra ente impositore e contribuente, di cui è espressione anche la regola secondo cui a quest'ultimo non può essere chiesta la prova di fatti già documentalmente noti al Comune (Cass., Sez. 6-5, n. 8592 del 26/03/2021). Tuttavia, nel caso di specie, parte ricorrente non ha allegato né provato di avere dichiarato al Comune le condizioni dei capannoni, né che queste ultime, nell'anno di riferimento, fossero al medesimo note, producendo, anzi, solo anni dopo una perizia giurata in pendenza di giudizio” – Cass. Sez. 5, Ordinanza n. 35474 del 19/11/2021 - Rv. 663196 – 01; nello stesso senso anche la giurisprudenza richiamata dal ricorrente: “In tema di IMU e nell'ipotesi di immobile inagibile, l'imposta va ridotta, ai sensi dell'art. 13, comma 3, del d.l. n. 201 del 2011 (</w:t>
      </w:r>
      <w:proofErr w:type="spellStart"/>
      <w:r w:rsidRPr="007B50D9">
        <w:rPr>
          <w:rFonts w:ascii="Times New Roman" w:hAnsi="Times New Roman" w:cs="Times New Roman"/>
        </w:rPr>
        <w:t>conv</w:t>
      </w:r>
      <w:proofErr w:type="spellEnd"/>
      <w:r w:rsidRPr="007B50D9">
        <w:rPr>
          <w:rFonts w:ascii="Times New Roman" w:hAnsi="Times New Roman" w:cs="Times New Roman"/>
        </w:rPr>
        <w:t xml:space="preserve">. con </w:t>
      </w:r>
      <w:proofErr w:type="spellStart"/>
      <w:r w:rsidRPr="007B50D9">
        <w:rPr>
          <w:rFonts w:ascii="Times New Roman" w:hAnsi="Times New Roman" w:cs="Times New Roman"/>
        </w:rPr>
        <w:t>modif</w:t>
      </w:r>
      <w:proofErr w:type="spellEnd"/>
      <w:r w:rsidRPr="007B50D9">
        <w:rPr>
          <w:rFonts w:ascii="Times New Roman" w:hAnsi="Times New Roman" w:cs="Times New Roman"/>
        </w:rPr>
        <w:t xml:space="preserve">. dalla </w:t>
      </w:r>
      <w:proofErr w:type="spellStart"/>
      <w:r w:rsidRPr="007B50D9">
        <w:rPr>
          <w:rFonts w:ascii="Times New Roman" w:hAnsi="Times New Roman" w:cs="Times New Roman"/>
        </w:rPr>
        <w:t>l.n</w:t>
      </w:r>
      <w:proofErr w:type="spellEnd"/>
      <w:r w:rsidRPr="007B50D9">
        <w:rPr>
          <w:rFonts w:ascii="Times New Roman" w:hAnsi="Times New Roman" w:cs="Times New Roman"/>
        </w:rPr>
        <w:t>. 214 del 2011), nella misura del 50 per cento anche in assenza di richiesta del contribuente quando lo stato di inagibilità è perfettamente noto al Comune, tenuto conto del principio di collaborazione e buona fede che deve improntare i rapporti tra ente impositore e contribuente di cui è espressione anche la regola secondo cui a quest'ultimo non può essere chiesta la prova di fatti già documentalmente noti al Comune” - Cass. Sez. 6, 26/03/2021, n. 8592, Rv. 660884 – 01; “In tema di ICI, qualora l'immobile sia dichiarato inagibile, l'imposta va ridotta, ai sensi dell'art. 8, comma 1, del d.lgs. 30 dicembre 1992, n. 504, nella misura del 50 per cento anche in assenza di richiesta del contribuente poiché, tenuto conto del principio di collaborazione e buona fede che deve improntare i rapporti tra ente impositore e contribuente, a quest'ultimo non può essere chiesta la prova di fatti già documentalmente noti al Comune” - Cass. Sez. 5, 10/06/2015, n. 12015, Rv. 635869 – 01). Stante la soccombenza, il ricorrente dovrà rifondere al Comune le spese di lite, che si liquidano in dispositivo, con riguardo alle fasi di studio, introduttiva e decisoria.</w:t>
      </w:r>
    </w:p>
    <w:p w14:paraId="4ACD2AE2" w14:textId="14E067BD" w:rsidR="007B50D9" w:rsidRPr="007B50D9" w:rsidRDefault="007B50D9" w:rsidP="002570CB">
      <w:pPr>
        <w:jc w:val="center"/>
        <w:rPr>
          <w:rFonts w:ascii="Times New Roman" w:hAnsi="Times New Roman" w:cs="Times New Roman"/>
        </w:rPr>
      </w:pPr>
      <w:r w:rsidRPr="007B50D9">
        <w:rPr>
          <w:rFonts w:ascii="Times New Roman" w:hAnsi="Times New Roman" w:cs="Times New Roman"/>
          <w:b/>
          <w:bCs/>
        </w:rPr>
        <w:t>P.Q.M.</w:t>
      </w:r>
    </w:p>
    <w:p w14:paraId="3BF30029" w14:textId="77777777" w:rsidR="007B50D9" w:rsidRPr="007B50D9" w:rsidRDefault="007B50D9" w:rsidP="002570CB">
      <w:pPr>
        <w:jc w:val="both"/>
        <w:rPr>
          <w:rFonts w:ascii="Times New Roman" w:hAnsi="Times New Roman" w:cs="Times New Roman"/>
        </w:rPr>
      </w:pPr>
      <w:r w:rsidRPr="007B50D9">
        <w:rPr>
          <w:rFonts w:ascii="Times New Roman" w:hAnsi="Times New Roman" w:cs="Times New Roman"/>
        </w:rPr>
        <w:t>Rigetta il ricorso. Condanna parte ricorrente alla rifusione delle spese di lite, che liquida in € 923,00 per onorari, oltre accessori se dovuti.</w:t>
      </w:r>
    </w:p>
    <w:p w14:paraId="1AE6F26D" w14:textId="77777777" w:rsidR="007B50D9" w:rsidRPr="002570CB" w:rsidRDefault="007B50D9" w:rsidP="002570CB">
      <w:pPr>
        <w:jc w:val="both"/>
        <w:rPr>
          <w:rFonts w:ascii="Times New Roman" w:hAnsi="Times New Roman" w:cs="Times New Roman"/>
        </w:rPr>
      </w:pPr>
    </w:p>
    <w:sectPr w:rsidR="007B50D9" w:rsidRPr="002570C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65C8"/>
    <w:multiLevelType w:val="multilevel"/>
    <w:tmpl w:val="E28A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6042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0D9"/>
    <w:rsid w:val="00245472"/>
    <w:rsid w:val="002570CB"/>
    <w:rsid w:val="00461E8F"/>
    <w:rsid w:val="007B50D9"/>
    <w:rsid w:val="00E91B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83AD"/>
  <w15:chartTrackingRefBased/>
  <w15:docId w15:val="{38096AAC-DD24-4F1E-84A5-65D8B15B8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B50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B50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B50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B50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B50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B50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B50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B50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B50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B50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B50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B50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B50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B50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B50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B50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B50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B50D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B50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B50D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B50D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B50D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B50D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B50D9"/>
    <w:rPr>
      <w:i/>
      <w:iCs/>
      <w:color w:val="404040" w:themeColor="text1" w:themeTint="BF"/>
    </w:rPr>
  </w:style>
  <w:style w:type="paragraph" w:styleId="Paragrafoelenco">
    <w:name w:val="List Paragraph"/>
    <w:basedOn w:val="Normale"/>
    <w:uiPriority w:val="34"/>
    <w:qFormat/>
    <w:rsid w:val="007B50D9"/>
    <w:pPr>
      <w:ind w:left="720"/>
      <w:contextualSpacing/>
    </w:pPr>
  </w:style>
  <w:style w:type="character" w:styleId="Enfasiintensa">
    <w:name w:val="Intense Emphasis"/>
    <w:basedOn w:val="Carpredefinitoparagrafo"/>
    <w:uiPriority w:val="21"/>
    <w:qFormat/>
    <w:rsid w:val="007B50D9"/>
    <w:rPr>
      <w:i/>
      <w:iCs/>
      <w:color w:val="0F4761" w:themeColor="accent1" w:themeShade="BF"/>
    </w:rPr>
  </w:style>
  <w:style w:type="paragraph" w:styleId="Citazioneintensa">
    <w:name w:val="Intense Quote"/>
    <w:basedOn w:val="Normale"/>
    <w:next w:val="Normale"/>
    <w:link w:val="CitazioneintensaCarattere"/>
    <w:uiPriority w:val="30"/>
    <w:qFormat/>
    <w:rsid w:val="007B50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B50D9"/>
    <w:rPr>
      <w:i/>
      <w:iCs/>
      <w:color w:val="0F4761" w:themeColor="accent1" w:themeShade="BF"/>
    </w:rPr>
  </w:style>
  <w:style w:type="character" w:styleId="Riferimentointenso">
    <w:name w:val="Intense Reference"/>
    <w:basedOn w:val="Carpredefinitoparagrafo"/>
    <w:uiPriority w:val="32"/>
    <w:qFormat/>
    <w:rsid w:val="007B50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125</TotalTime>
  <Pages>5</Pages>
  <Words>2853</Words>
  <Characters>16980</Characters>
  <Application>Microsoft Office Word</Application>
  <DocSecurity>0</DocSecurity>
  <Lines>223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carpenedo</dc:creator>
  <cp:keywords/>
  <dc:description/>
  <cp:lastModifiedBy>cristina carpenedo</cp:lastModifiedBy>
  <cp:revision>1</cp:revision>
  <dcterms:created xsi:type="dcterms:W3CDTF">2026-04-04T11:03:00Z</dcterms:created>
  <dcterms:modified xsi:type="dcterms:W3CDTF">2026-04-04T13:48:00Z</dcterms:modified>
</cp:coreProperties>
</file>